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57" w:rsidRDefault="000D4357" w:rsidP="000D4357">
      <w:pPr>
        <w:jc w:val="both"/>
        <w:rPr>
          <w:rStyle w:val="rvts0"/>
        </w:rPr>
      </w:pPr>
      <w:r>
        <w:rPr>
          <w:rStyle w:val="rvts0"/>
        </w:rPr>
        <w:t xml:space="preserve">Податковий кодекс України від 02.12.2010 року № 2755 // </w:t>
      </w:r>
      <w:hyperlink r:id="rId5" w:history="1">
        <w:r w:rsidRPr="00FB4B42">
          <w:rPr>
            <w:rStyle w:val="a3"/>
          </w:rPr>
          <w:t>https://zakon.rada.gov.ua/laws/show/2755-17</w:t>
        </w:r>
      </w:hyperlink>
    </w:p>
    <w:p w:rsidR="000D4357" w:rsidRDefault="000D4357" w:rsidP="000D4357">
      <w:pPr>
        <w:jc w:val="both"/>
        <w:rPr>
          <w:rStyle w:val="rvts0"/>
        </w:rPr>
      </w:pPr>
      <w:r>
        <w:rPr>
          <w:rStyle w:val="rvts0"/>
        </w:rPr>
        <w:t>Податковий кодекс України регулює відносини, що виникають у сфері справляння податків і зборів, зокрема визначає вичерпний перелік податків та зборів, що справляються в Україні, та порядок їх адміністрування, платників податків та зборів, їх права та обов’язки, компетенцію контролюючих органів, повноваження і обов’язки їх посадових осіб під час адміністрування податків, а також відповідальність за порушення податкового законодавства.</w:t>
      </w:r>
    </w:p>
    <w:p w:rsidR="00112A48" w:rsidRDefault="00112A48">
      <w:bookmarkStart w:id="0" w:name="_GoBack"/>
      <w:bookmarkEnd w:id="0"/>
    </w:p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755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2019-04-16T10:47:00Z</dcterms:created>
  <dcterms:modified xsi:type="dcterms:W3CDTF">2019-04-16T10:50:00Z</dcterms:modified>
</cp:coreProperties>
</file>