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C2" w:rsidRDefault="002820C2" w:rsidP="002820C2">
      <w:pPr>
        <w:jc w:val="both"/>
      </w:pPr>
      <w:r>
        <w:t xml:space="preserve">Бюджетний кодекс України від 08.07.2010 № 2456 // </w:t>
      </w:r>
      <w:hyperlink r:id="rId5" w:history="1">
        <w:r w:rsidRPr="00A850E8">
          <w:rPr>
            <w:rStyle w:val="a3"/>
          </w:rPr>
          <w:t>https://zakon.rada.gov.ua/laws/show/2456-17</w:t>
        </w:r>
      </w:hyperlink>
    </w:p>
    <w:p w:rsidR="002820C2" w:rsidRPr="002820C2" w:rsidRDefault="002820C2" w:rsidP="002820C2">
      <w:pPr>
        <w:jc w:val="both"/>
        <w:rPr>
          <w:rStyle w:val="rvts0"/>
        </w:rPr>
      </w:pPr>
      <w:r>
        <w:rPr>
          <w:rStyle w:val="rvts0"/>
        </w:rPr>
        <w:t>Бюджетним кодексом України регулюються відносини, що виникають у процесі складання, розгляду, затвердження, виконання бюджетів, звітування про їх виконання та контролю за дотриманням бюджетного законодавства, і питання відповідальності за порушення бюджетного законодавства, а також визначаються правові засади утворення та погашення державного і місцевого боргу.</w:t>
      </w:r>
    </w:p>
    <w:p w:rsidR="00112A48" w:rsidRDefault="00112A48">
      <w:bookmarkStart w:id="0" w:name="_GoBack"/>
      <w:bookmarkEnd w:id="0"/>
    </w:p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112A48"/>
    <w:rsid w:val="002820C2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456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>SPecialiST RePack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2019-04-16T10:47:00Z</dcterms:created>
  <dcterms:modified xsi:type="dcterms:W3CDTF">2019-04-16T10:47:00Z</dcterms:modified>
</cp:coreProperties>
</file>